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F6A7A" w:rsidRPr="00707C4E" w:rsidRDefault="00707C4E" w:rsidP="00707C4E">
      <w:pPr>
        <w:pStyle w:val="Heading1"/>
        <w:spacing w:before="0" w:after="120" w:line="360" w:lineRule="auto"/>
        <w:rPr>
          <w:rFonts w:ascii="FangSong" w:eastAsia="FangSong" w:hAnsi="FangSong" w:cs="Google Sans"/>
          <w:color w:val="1F1F1F"/>
        </w:rPr>
      </w:pPr>
      <w:r w:rsidRPr="00707C4E">
        <w:rPr>
          <w:rFonts w:ascii="FangSong" w:eastAsia="FangSong" w:hAnsi="FangSong" w:cs="Google Sans"/>
          <w:color w:val="1F1F1F"/>
        </w:rPr>
        <w:t>致数 (Seeyon Report) 产品白皮书</w:t>
      </w:r>
    </w:p>
    <w:p w14:paraId="00000002" w14:textId="77777777" w:rsidR="00BF6A7A" w:rsidRPr="00707C4E" w:rsidRDefault="00707C4E" w:rsidP="00707C4E">
      <w:pPr>
        <w:pStyle w:val="Heading2"/>
        <w:spacing w:before="0" w:after="120" w:line="360" w:lineRule="auto"/>
        <w:rPr>
          <w:rFonts w:ascii="FangSong" w:eastAsia="FangSong" w:hAnsi="FangSong" w:cs="Google Sans"/>
          <w:color w:val="1F1F1F"/>
          <w:sz w:val="28"/>
          <w:szCs w:val="28"/>
        </w:rPr>
      </w:pPr>
      <w:r w:rsidRPr="00707C4E">
        <w:rPr>
          <w:rFonts w:ascii="FangSong" w:eastAsia="FangSong" w:hAnsi="FangSong" w:cs="Google Sans"/>
          <w:color w:val="1F1F1F"/>
          <w:sz w:val="28"/>
          <w:szCs w:val="28"/>
        </w:rPr>
        <w:t>—— 重塑智能商业分析的新范式：从对话到决策的完整闭环</w:t>
      </w:r>
    </w:p>
    <w:p w14:paraId="00000003" w14:textId="58267402" w:rsidR="00BF6A7A" w:rsidRPr="00707C4E" w:rsidRDefault="00707C4E" w:rsidP="00707C4E">
      <w:pPr>
        <w:pBdr>
          <w:top w:val="nil"/>
          <w:left w:val="nil"/>
          <w:bottom w:val="nil"/>
          <w:right w:val="nil"/>
          <w:between w:val="nil"/>
        </w:pBdr>
        <w:spacing w:line="360" w:lineRule="auto"/>
        <w:rPr>
          <w:rFonts w:ascii="FangSong" w:eastAsia="FangSong" w:hAnsi="FangSong" w:cs="Google Sans Text"/>
        </w:rPr>
      </w:pPr>
      <w:r w:rsidRPr="00707C4E">
        <w:rPr>
          <w:rFonts w:ascii="FangSong" w:eastAsia="FangSong" w:hAnsi="FangSong" w:cs="Google Sans Text"/>
        </w:rPr>
        <w:t>版本：</w:t>
      </w:r>
      <w:r w:rsidR="00AB35B4">
        <w:rPr>
          <w:rFonts w:ascii="FangSong" w:eastAsia="FangSong" w:hAnsi="FangSong" w:cs="Google Sans Text"/>
          <w:lang w:val="en-US"/>
        </w:rPr>
        <w:t>2</w:t>
      </w:r>
      <w:r w:rsidRPr="00707C4E">
        <w:rPr>
          <w:rFonts w:ascii="FangSong" w:eastAsia="FangSong" w:hAnsi="FangSong" w:cs="Google Sans Text"/>
        </w:rPr>
        <w:t>.0</w:t>
      </w:r>
    </w:p>
    <w:p w14:paraId="00000004" w14:textId="563D57FA" w:rsidR="00BF6A7A" w:rsidRPr="00707C4E" w:rsidRDefault="00707C4E" w:rsidP="00707C4E">
      <w:pPr>
        <w:pBdr>
          <w:top w:val="nil"/>
          <w:left w:val="nil"/>
          <w:bottom w:val="nil"/>
          <w:right w:val="nil"/>
          <w:between w:val="nil"/>
        </w:pBdr>
        <w:spacing w:line="360" w:lineRule="auto"/>
        <w:rPr>
          <w:rFonts w:ascii="FangSong" w:eastAsia="FangSong" w:hAnsi="FangSong" w:cs="Google Sans Text"/>
        </w:rPr>
      </w:pPr>
      <w:r w:rsidRPr="00707C4E">
        <w:rPr>
          <w:rFonts w:ascii="FangSong" w:eastAsia="FangSong" w:hAnsi="FangSong" w:cs="Google Sans Text"/>
        </w:rPr>
        <w:t>日期：202</w:t>
      </w:r>
      <w:r w:rsidR="00AB35B4">
        <w:rPr>
          <w:rFonts w:ascii="FangSong" w:eastAsia="FangSong" w:hAnsi="FangSong" w:cs="Google Sans Text"/>
          <w:lang w:val="en-US"/>
        </w:rPr>
        <w:t>6</w:t>
      </w:r>
      <w:r w:rsidRPr="00707C4E">
        <w:rPr>
          <w:rFonts w:ascii="FangSong" w:eastAsia="FangSong" w:hAnsi="FangSong" w:cs="Google Sans Text"/>
        </w:rPr>
        <w:t>年1月</w:t>
      </w:r>
    </w:p>
    <w:p w14:paraId="00000005" w14:textId="77777777" w:rsidR="00BF6A7A" w:rsidRPr="00707C4E" w:rsidRDefault="00707C4E" w:rsidP="00707C4E">
      <w:pPr>
        <w:pBdr>
          <w:top w:val="nil"/>
          <w:left w:val="nil"/>
          <w:bottom w:val="nil"/>
          <w:right w:val="nil"/>
          <w:between w:val="nil"/>
        </w:pBdr>
        <w:spacing w:line="360" w:lineRule="auto"/>
        <w:rPr>
          <w:rFonts w:ascii="FangSong" w:eastAsia="FangSong" w:hAnsi="FangSong" w:cs="Google Sans Text"/>
        </w:rPr>
      </w:pPr>
      <w:r w:rsidRPr="00707C4E">
        <w:rPr>
          <w:rFonts w:ascii="FangSong" w:eastAsia="FangSong" w:hAnsi="FangSong" w:cs="Google Sans Text"/>
        </w:rPr>
        <w:t>领域：人工智能 / 商业智能 (AI &amp; BI) / 认知计算</w:t>
      </w:r>
    </w:p>
    <w:p w14:paraId="00000006" w14:textId="77777777" w:rsidR="00BF6A7A" w:rsidRPr="00707C4E" w:rsidRDefault="00707C4E" w:rsidP="00707C4E">
      <w:pPr>
        <w:pStyle w:val="Heading2"/>
        <w:pageBreakBefore/>
        <w:spacing w:before="0" w:after="120" w:line="360" w:lineRule="auto"/>
        <w:rPr>
          <w:rFonts w:ascii="FangSong" w:eastAsia="FangSong" w:hAnsi="FangSong" w:cs="Google Sans"/>
          <w:color w:val="1F1F1F"/>
        </w:rPr>
      </w:pPr>
      <w:r w:rsidRPr="00707C4E">
        <w:rPr>
          <w:rFonts w:ascii="FangSong" w:eastAsia="FangSong" w:hAnsi="FangSong" w:cs="Google Sans"/>
          <w:color w:val="1F1F1F"/>
        </w:rPr>
        <w:lastRenderedPageBreak/>
        <w:t>摘要</w:t>
      </w:r>
    </w:p>
    <w:p w14:paraId="00000007"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在当今全球经济不确定性加剧（VUCA 时代）与企业数字化转型步入深水区的双重背景下，数据资产的战略价值日益凸显。企业对数据利用效率的诉求，正经历着从“记录与回溯”向“预测与决策”的深刻质变。然而，传统的商业智能（Business Intelligence, BI）体系虽然解决了数据可视化的基本需求，但其本质上仍属于“描述性”工具，普遍受制于高昂的技术门槛、僵化的交互模式以及严重的“分析时滞”。这种以 IT 专家为中心、以预设报表为载体的旧范式，已难以适应实时化、敏捷化的现代商业决策需求，构成了数据普惠化进程中的主要障碍。</w:t>
      </w:r>
    </w:p>
    <w:p w14:paraId="00000008"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致数 (Seeyon Report) 正是在此背景下应运而生，旨在定义下一代企业级商业智能平台的全新标准。作为一次基于生成式人工智能（AIGC）技术的范式重构，致数创新性地采用了“神经符号人工智能（Neuro-symbolic AI）”架构。该架构将大语言模型（LLM）在非结构化语义理解与逻辑推理上的卓越能力，与确定性计算引擎在数值处理上的高精度特性进行了深度融合，彻底重构了人与数据的交互拓扑。本白皮书将系统性地阐述致数的核心设计哲学、技术架构及关键功能特性，论述平台如何通过“自然语言交互 (NLI)”降低认知负荷，利用“智能代理（AI Agents）”实现分析流程的自动化闭环，并最终推动商业分析从“工具辅助”向“认知增强”跨越。</w:t>
      </w:r>
    </w:p>
    <w:p w14:paraId="00000009" w14:textId="77777777" w:rsidR="00BF6A7A" w:rsidRPr="00707C4E" w:rsidRDefault="00707C4E" w:rsidP="00707C4E">
      <w:pPr>
        <w:pStyle w:val="Heading2"/>
        <w:pageBreakBefore/>
        <w:spacing w:before="0" w:after="120" w:line="360" w:lineRule="auto"/>
        <w:rPr>
          <w:rFonts w:ascii="FangSong" w:eastAsia="FangSong" w:hAnsi="FangSong" w:cs="Google Sans"/>
          <w:color w:val="1F1F1F"/>
        </w:rPr>
      </w:pPr>
      <w:r w:rsidRPr="00707C4E">
        <w:rPr>
          <w:rFonts w:ascii="FangSong" w:eastAsia="FangSong" w:hAnsi="FangSong" w:cs="Google Sans"/>
          <w:color w:val="1F1F1F"/>
        </w:rPr>
        <w:lastRenderedPageBreak/>
        <w:t>1. 引言：商业分析的智能化变革与范式转移</w:t>
      </w:r>
    </w:p>
    <w:p w14:paraId="0000000A" w14:textId="77777777" w:rsidR="00BF6A7A" w:rsidRPr="00707C4E" w:rsidRDefault="00707C4E" w:rsidP="00707C4E">
      <w:pPr>
        <w:pStyle w:val="Heading3"/>
        <w:spacing w:before="0" w:after="120" w:line="360" w:lineRule="auto"/>
        <w:rPr>
          <w:rFonts w:ascii="FangSong" w:eastAsia="FangSong" w:hAnsi="FangSong" w:cs="Google Sans"/>
          <w:color w:val="1F1F1F"/>
        </w:rPr>
      </w:pPr>
      <w:r w:rsidRPr="00707C4E">
        <w:rPr>
          <w:rFonts w:ascii="FangSong" w:eastAsia="FangSong" w:hAnsi="FangSong" w:cs="Google Sans"/>
          <w:color w:val="1F1F1F"/>
        </w:rPr>
        <w:t>1.1 传统 BI 的结构性困境与边际效应递减</w:t>
      </w:r>
    </w:p>
    <w:p w14:paraId="0000000B"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长期以来，商业分析工具被视为企业 IT 架构中的“贵族应用”，其价值创造过程受制于显著的结构性瓶颈。在传统的 BI 体系中，构建了一套高度专业化但相对封闭的作业流程：业务人员面临复杂的报表需求时，必须将其转化为技术语言，向 IT 部门发起申请，随后经历漫长的排期、数据建模、ETL 开发与报表制作。这种以周甚至月为单位的“瀑布式”开发周期，不仅导致了严重的决策时滞（Decision Latency），使得数据洞察往往滞后于瞬息万变的市场动态，更造成了交互模式的极度僵化（Interaction Rigidity）。传统报表一旦生成，即成为静态的信息孤岛，业务人员在阅读报表时产生的衍生性疑问（Ad-hoc Queries）无法得到即时响应，必须开启新一轮的开发循环，这种高昂的时间成本极大地抑制了探索性分析的意愿。</w:t>
      </w:r>
    </w:p>
    <w:p w14:paraId="0000000C"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此外，复杂的多维分析工具要求用户具备 SQL 编写或数据建模能力，这种显著的认知门槛（Cognitive Barrier）将绝大多数业务专家拒之门外，导致了企业内部“懂业务的人不懂数据，懂数据的人不懂业务”的错位现象。随着数据量的指数级增长，传统 BI 投入带来的边际效应正逐渐递减，企业急需一种能够打破技术与业务壁垒的新型分析范式。</w:t>
      </w:r>
    </w:p>
    <w:p w14:paraId="0000000D" w14:textId="77777777" w:rsidR="00BF6A7A" w:rsidRPr="00707C4E" w:rsidRDefault="00707C4E" w:rsidP="00707C4E">
      <w:pPr>
        <w:pStyle w:val="Heading3"/>
        <w:spacing w:before="0" w:after="120" w:line="360" w:lineRule="auto"/>
        <w:rPr>
          <w:rFonts w:ascii="FangSong" w:eastAsia="FangSong" w:hAnsi="FangSong" w:cs="Google Sans"/>
          <w:color w:val="1F1F1F"/>
        </w:rPr>
      </w:pPr>
      <w:r w:rsidRPr="00707C4E">
        <w:rPr>
          <w:rFonts w:ascii="FangSong" w:eastAsia="FangSong" w:hAnsi="FangSong" w:cs="Google Sans"/>
          <w:color w:val="1F1F1F"/>
        </w:rPr>
        <w:t>1.2 致数带来的范式革命：迈向认知智能</w:t>
      </w:r>
    </w:p>
    <w:p w14:paraId="0000000E"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致数 (Seeyon Report) 的诞生，标志着商业分析从“数据驱动 (Data-Driven)”向“AI 原生 (AI-Native)”的演进。这不仅仅是交互界面的革新，更是底层逻辑的重塑。首先，致数确立了自然语言作为人机交互的第一语言，实现了从“图形界面 (GUI)”到“自然语言界面 (LUI)”的跨越。这不仅改变了输入方式，更意味着机器开始理解人类的意图而非仅仅执行指令，将分析的颗粒度从粗放的“预设报表”细化到了灵活的“原子指标”，将分析的时效性从“T+N”提升到了实时交互。</w:t>
      </w:r>
    </w:p>
    <w:p w14:paraId="0000000F"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其次，致数引入了“智能代理（AI Agents）”概念，将系统角色从被动的查询响应者转变为主动的“虚拟分析师”。通过具备规划、记忆、执行能力的 Agent 架构，系统能够自主拆解复杂问题，主动寻找数据证据，并提供建议，实现了从“人找数”到“数找人”的根本性转变。</w:t>
      </w:r>
    </w:p>
    <w:p w14:paraId="00000010" w14:textId="77777777" w:rsidR="00BF6A7A" w:rsidRPr="00707C4E" w:rsidRDefault="00707C4E" w:rsidP="00707C4E">
      <w:pPr>
        <w:pStyle w:val="Heading2"/>
        <w:pageBreakBefore/>
        <w:spacing w:before="0" w:after="120" w:line="360" w:lineRule="auto"/>
        <w:rPr>
          <w:rFonts w:ascii="FangSong" w:eastAsia="FangSong" w:hAnsi="FangSong" w:cs="Google Sans"/>
          <w:color w:val="1F1F1F"/>
        </w:rPr>
      </w:pPr>
      <w:r w:rsidRPr="00707C4E">
        <w:rPr>
          <w:rFonts w:ascii="FangSong" w:eastAsia="FangSong" w:hAnsi="FangSong" w:cs="Google Sans"/>
          <w:color w:val="1F1F1F"/>
        </w:rPr>
        <w:lastRenderedPageBreak/>
        <w:t>2. 核心交互架构：认知工学与沉浸式对话分析</w:t>
      </w:r>
    </w:p>
    <w:p w14:paraId="00000011"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致数的交互设计遵循认知工学（Cognitive Ergonomics）原则，旨在通过深度语义理解与情境感知，最小化用户的认知负荷，提供流畅、自然的沉浸式分析体验。</w:t>
      </w:r>
    </w:p>
    <w:p w14:paraId="00000012" w14:textId="77777777" w:rsidR="00BF6A7A" w:rsidRPr="00707C4E" w:rsidRDefault="00707C4E" w:rsidP="00707C4E">
      <w:pPr>
        <w:pStyle w:val="Heading3"/>
        <w:spacing w:before="0" w:after="120" w:line="360" w:lineRule="auto"/>
        <w:rPr>
          <w:rFonts w:ascii="FangSong" w:eastAsia="FangSong" w:hAnsi="FangSong" w:cs="Google Sans"/>
          <w:color w:val="1F1F1F"/>
        </w:rPr>
      </w:pPr>
      <w:r w:rsidRPr="00707C4E">
        <w:rPr>
          <w:rFonts w:ascii="FangSong" w:eastAsia="FangSong" w:hAnsi="FangSong" w:cs="Google Sans"/>
          <w:color w:val="1F1F1F"/>
        </w:rPr>
        <w:t>2.1 自然语言驱动的深度洞察与意图识别机制</w:t>
      </w:r>
    </w:p>
    <w:p w14:paraId="00000013"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平台构建了以对话框为核心的极简交互界面，其背后是一套精密的多层意图识别引擎。系统不再局限于简单的关键词匹配，而是对用户的自然语言指令进行深度的句法依存分析与语义槽位填充。例如，当面对复杂的复合指令时，引擎能够精准提取出时间实体、空间维度、核心指标、分析动作及对比基准，这种强大的解析能力支持模糊语义和非标准表达，极大地降低了用户的表达门槛。</w:t>
      </w:r>
    </w:p>
    <w:p w14:paraId="00000014"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同时，考虑到人类交流的连续性与语境依赖性，致数维护着一个动态的对话显存窗口（Context Window）与向量化的长期记忆库。系统能精准理解多轮交互中的代词指代、省略句及逻辑递进关系，这意味着用户可以像剥洋葱一样，通过连续追问进行下钻分析，还原人类思考的连贯性，而非被迫将每个问题都表述为独立且冗长的完整指令。为了缓解用户在等待复杂分析结果时的“黑箱焦虑”，致数采用了流式输出技术，实时展示 AI 的思考路径（Chain of Thought）与工具调用过程，增强了系统的可解释性（Explainability），帮助用户理解结论的推导过程，从而建立对 AI 的深层信任。</w:t>
      </w:r>
    </w:p>
    <w:p w14:paraId="00000015" w14:textId="77777777" w:rsidR="00BF6A7A" w:rsidRPr="00707C4E" w:rsidRDefault="00707C4E" w:rsidP="00707C4E">
      <w:pPr>
        <w:pStyle w:val="Heading3"/>
        <w:spacing w:before="0" w:after="120" w:line="360" w:lineRule="auto"/>
        <w:rPr>
          <w:rFonts w:ascii="FangSong" w:eastAsia="FangSong" w:hAnsi="FangSong" w:cs="Google Sans Text"/>
          <w:color w:val="1F1F1F"/>
        </w:rPr>
      </w:pPr>
      <w:r w:rsidRPr="00707C4E">
        <w:rPr>
          <w:rFonts w:ascii="FangSong" w:eastAsia="FangSong" w:hAnsi="FangSong" w:cs="Google Sans Text"/>
          <w:color w:val="1F1F1F"/>
        </w:rPr>
        <w:t>2.2 动态语境构建与智能增强辅助</w:t>
      </w:r>
    </w:p>
    <w:p w14:paraId="00000016"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在分析过程中，数据的上下文环境是高度动态的，致数具备强大的语境适应能力与主动辅助能力。一方面，平台实现了异构数据源的语义对齐，用户可以在对话中动态挂载、切换多个数据集，甚至混合使用本地文件、外部 REST API 实时数据源或企业数据库连接。系统会自动扫描各数据源的 Schema，建立异构数据源之间的语义关联模型，支持跨源分析，从而打破了物理存储的隔离。</w:t>
      </w:r>
    </w:p>
    <w:p w14:paraId="00000017"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另一方面，针对非结构化文本或复杂表格，系统引入了“高亮即时提问 (Contextual Highlighting)”机制。用户只需鼠标选中某一段异常数据或一段文字描述，即可构建当前的微观语境（Micro-Context），针对该片段发起定点爆破分析，模拟了人类阅读时的批注与讨论习惯。此外，基于向量检索的智能建议系统 (RAG-enhanced Suggestions) 会根据当前挂载数据特征及</w:t>
      </w:r>
      <w:r w:rsidRPr="00707C4E">
        <w:rPr>
          <w:rFonts w:ascii="FangSong" w:eastAsia="FangSong" w:hAnsi="FangSong" w:cs="Google Sans Text"/>
          <w:color w:val="1F1F1F"/>
        </w:rPr>
        <w:lastRenderedPageBreak/>
        <w:t>历史分析习惯，主动生成具备业务价值的分析切入点建议，通过计算潜在问题的相关性得分，辅助用户发现数据盲点，有效解决了分析初期的“冷启动”问题。</w:t>
      </w:r>
    </w:p>
    <w:p w14:paraId="00000018" w14:textId="77777777" w:rsidR="00BF6A7A" w:rsidRPr="00707C4E" w:rsidRDefault="00707C4E" w:rsidP="00707C4E">
      <w:pPr>
        <w:pStyle w:val="Heading2"/>
        <w:pageBreakBefore/>
        <w:spacing w:before="0" w:after="120" w:line="360" w:lineRule="auto"/>
        <w:rPr>
          <w:rFonts w:ascii="FangSong" w:eastAsia="FangSong" w:hAnsi="FangSong" w:cs="Google Sans Text"/>
          <w:color w:val="1F1F1F"/>
        </w:rPr>
      </w:pPr>
      <w:r w:rsidRPr="00707C4E">
        <w:rPr>
          <w:rFonts w:ascii="FangSong" w:eastAsia="FangSong" w:hAnsi="FangSong" w:cs="Google Sans Text"/>
          <w:color w:val="1F1F1F"/>
        </w:rPr>
        <w:lastRenderedPageBreak/>
        <w:t>3. 技术基石：神经符号架构与确定性计算引擎</w:t>
      </w:r>
    </w:p>
    <w:p w14:paraId="00000019"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大语言模型（LLM）虽然在文本生成与逻辑推理上表现出色，但在处理精确数值计算时，由于其本质上是基于概率统计的预测模型，往往存在“幻觉（Hallucination）”风险，难以满足金融、财务等场景对数据准确性的严苛要求。为了解决这一核心矛盾，致数创新性地构建了“神经+符号（Neuro-symbolic）”的双核驱动架构。</w:t>
      </w:r>
    </w:p>
    <w:p w14:paraId="0000001A" w14:textId="77777777" w:rsidR="00BF6A7A" w:rsidRPr="00707C4E" w:rsidRDefault="00707C4E" w:rsidP="00707C4E">
      <w:pPr>
        <w:pStyle w:val="Heading3"/>
        <w:spacing w:before="0" w:after="120" w:line="360" w:lineRule="auto"/>
        <w:rPr>
          <w:rFonts w:ascii="FangSong" w:eastAsia="FangSong" w:hAnsi="FangSong" w:cs="Google Sans"/>
          <w:color w:val="1F1F1F"/>
        </w:rPr>
      </w:pPr>
      <w:r w:rsidRPr="00707C4E">
        <w:rPr>
          <w:rFonts w:ascii="FangSong" w:eastAsia="FangSong" w:hAnsi="FangSong" w:cs="Google Sans"/>
          <w:color w:val="1F1F1F"/>
        </w:rPr>
        <w:t>3.1 代理式工具调用机制：概率与确定性的完美互补</w:t>
      </w:r>
    </w:p>
    <w:p w14:paraId="0000001B"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致数并未试图强行让 LLM 去承担其不擅长的数值计算任务，而是遵循“专业分工”的原则，内置了自主研发的、基于 WebAssembly 的高性能电子表格计算引擎，并将其封装为 AI 可调用的核心工具。这种架构实现了决策与执行的彻底解耦：在分析过程中，AI 模型（神经网络侧）扮演“大脑”的角色，负责理解意图、规划分析路径、构建数学模型；而计算引擎（符号计算侧）则扮演“计算器”的角色，负责执行具体的数学运算。</w:t>
      </w:r>
    </w:p>
    <w:p w14:paraId="0000001C"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当 AI 识别到用户意图中包含增长率、占比、方差等计算需求时，它会将计算逻辑转化为包含 Excel 风格公式的 Markdown 表格，这本质上是一种中间代码（Intermediate Representation）的生成过程。引擎执行公式后，将精确的、确定性的计算结果回传至 AI 的推理上下文。这种机制完美规避了 LLM 的数学短板，确保了所有报表数据、财务指标的绝对精准，为严肃的商业决策奠定了可信赖的基石。</w:t>
      </w:r>
    </w:p>
    <w:p w14:paraId="0000001D" w14:textId="77777777" w:rsidR="00BF6A7A" w:rsidRPr="00707C4E" w:rsidRDefault="00707C4E" w:rsidP="00707C4E">
      <w:pPr>
        <w:pStyle w:val="Heading3"/>
        <w:spacing w:before="0" w:after="120" w:line="360" w:lineRule="auto"/>
        <w:rPr>
          <w:rFonts w:ascii="FangSong" w:eastAsia="FangSong" w:hAnsi="FangSong" w:cs="Google Sans Text"/>
          <w:color w:val="1F1F1F"/>
        </w:rPr>
      </w:pPr>
      <w:r w:rsidRPr="00707C4E">
        <w:rPr>
          <w:rFonts w:ascii="FangSong" w:eastAsia="FangSong" w:hAnsi="FangSong" w:cs="Google Sans Text"/>
          <w:color w:val="1F1F1F"/>
        </w:rPr>
        <w:t>3.2 全面的函数支持与多轮迭代推理</w:t>
      </w:r>
    </w:p>
    <w:p w14:paraId="0000001E"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计算引擎的能力边界直接决定了分析的深度。致数的引擎不仅是一个简单的计算器，而是一个功能完备的数理统计环境，原生支持数百种 Excel 兼容函数，涵盖基础聚合、条件统计、高阶统计学分析及财务函数。这使得业务人员熟悉的传统 Excel 分析逻辑可以无缝迁移至 AI 对话中。更关键的是，针对复杂的分析命题，系统支持 AI 自主发起的“思考-计算-验证”多轮迭代循环（Recursive Reasoning）。例如，在归因分析中，AI 可能会先计算总指标变化，发现异常后再自动下钻计算分维度指标，直至锁定根本原因。这种多轮迭代能力使得 AI 能够模拟资深分析师的思维路径，抽丝剥茧地验证假设、排查异常，直至得出稳健、经得起推敲的分析结论。</w:t>
      </w:r>
    </w:p>
    <w:p w14:paraId="0000001F" w14:textId="77777777" w:rsidR="00BF6A7A" w:rsidRPr="00707C4E" w:rsidRDefault="00707C4E" w:rsidP="00707C4E">
      <w:pPr>
        <w:pStyle w:val="Heading2"/>
        <w:pageBreakBefore/>
        <w:spacing w:before="0" w:after="120" w:line="360" w:lineRule="auto"/>
        <w:rPr>
          <w:rFonts w:ascii="FangSong" w:eastAsia="FangSong" w:hAnsi="FangSong" w:cs="Google Sans"/>
          <w:color w:val="1F1F1F"/>
        </w:rPr>
      </w:pPr>
      <w:r w:rsidRPr="00707C4E">
        <w:rPr>
          <w:rFonts w:ascii="FangSong" w:eastAsia="FangSong" w:hAnsi="FangSong" w:cs="Google Sans"/>
          <w:color w:val="1F1F1F"/>
        </w:rPr>
        <w:lastRenderedPageBreak/>
        <w:t>4. 智能分析体系：代理 (Agents) 与自动化工作流</w:t>
      </w:r>
    </w:p>
    <w:p w14:paraId="00000020"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致数不仅仅是一个被动的查询工具箱，更是一组具备专业分工、能够主动思考的“数字员工团队”。平台通过 Agent 架构，预置了多类垂直领域的智能分析代理，它们具备规划（Planning）、记忆（Memory）、工具使用（Tool Use）和行动（Action）的能力，形成了完整的 OODA（观察-调整-决策-行动）循环。</w:t>
      </w:r>
    </w:p>
    <w:p w14:paraId="00000021" w14:textId="77777777" w:rsidR="00BF6A7A" w:rsidRPr="00707C4E" w:rsidRDefault="00707C4E" w:rsidP="00707C4E">
      <w:pPr>
        <w:pStyle w:val="Heading3"/>
        <w:spacing w:before="0" w:after="120" w:line="360" w:lineRule="auto"/>
        <w:rPr>
          <w:rFonts w:ascii="FangSong" w:eastAsia="FangSong" w:hAnsi="FangSong" w:cs="Google Sans"/>
          <w:color w:val="1F1F1F"/>
        </w:rPr>
      </w:pPr>
      <w:r w:rsidRPr="00707C4E">
        <w:rPr>
          <w:rFonts w:ascii="FangSong" w:eastAsia="FangSong" w:hAnsi="FangSong" w:cs="Google Sans"/>
          <w:color w:val="1F1F1F"/>
        </w:rPr>
        <w:t>4.1 全谱系分析报告代理：从描述到处方</w:t>
      </w:r>
    </w:p>
    <w:p w14:paraId="00000022"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平台依据 Gartner 定义的商业分析成熟度模型，构建了四类核心分析代理，覆盖了从现状复盘到决策建议的完整闭环。</w:t>
      </w:r>
      <w:r w:rsidRPr="00707C4E">
        <w:rPr>
          <w:rFonts w:ascii="FangSong" w:eastAsia="FangSong" w:hAnsi="FangSong" w:cs="Google Sans Text"/>
          <w:b/>
          <w:bCs/>
          <w:color w:val="1F1F1F"/>
        </w:rPr>
        <w:t>描述性分析代理 (Descriptive Agent)</w:t>
      </w:r>
      <w:r w:rsidRPr="00707C4E">
        <w:rPr>
          <w:rFonts w:ascii="FangSong" w:eastAsia="FangSong" w:hAnsi="FangSong" w:cs="Google Sans Text"/>
          <w:color w:val="1F1F1F"/>
        </w:rPr>
        <w:t xml:space="preserve"> 专注于回答“发生了什么”，它通过快速扫描全量数据，自动计算关键绩效指标并识别数据的集中趋势与离散程度，生成详尽的数据摘要与可视化描述，帮助用户建立宏观认知。</w:t>
      </w:r>
      <w:r w:rsidRPr="00707C4E">
        <w:rPr>
          <w:rFonts w:ascii="FangSong" w:eastAsia="FangSong" w:hAnsi="FangSong" w:cs="Google Sans Text"/>
          <w:b/>
          <w:bCs/>
          <w:color w:val="1F1F1F"/>
        </w:rPr>
        <w:t>诊断性分析代理 (Diagnostic Agent)</w:t>
      </w:r>
      <w:r w:rsidRPr="00707C4E">
        <w:rPr>
          <w:rFonts w:ascii="FangSong" w:eastAsia="FangSong" w:hAnsi="FangSong" w:cs="Google Sans Text"/>
          <w:color w:val="1F1F1F"/>
        </w:rPr>
        <w:t xml:space="preserve"> 则致力于回答“为什么发生”，该代理具备深度归因与下钻分析能力，当发现指标异常时，会自动拆解维度并计算变量间的相关系数，通过同比、环比及目标对比分析，揭示数据波动背后的根本原因与关键驱动因子。</w:t>
      </w:r>
    </w:p>
    <w:p w14:paraId="00000023"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在面向未来的分析中，</w:t>
      </w:r>
      <w:r w:rsidRPr="00707C4E">
        <w:rPr>
          <w:rFonts w:ascii="FangSong" w:eastAsia="FangSong" w:hAnsi="FangSong" w:cs="Google Sans Text"/>
          <w:b/>
          <w:bCs/>
          <w:color w:val="1F1F1F"/>
        </w:rPr>
        <w:t>预测性分析代理 (Predictive Agent)</w:t>
      </w:r>
      <w:r w:rsidRPr="00707C4E">
        <w:rPr>
          <w:rFonts w:ascii="FangSong" w:eastAsia="FangSong" w:hAnsi="FangSong" w:cs="Google Sans Text"/>
          <w:color w:val="1F1F1F"/>
        </w:rPr>
        <w:t xml:space="preserve"> 利用历史时序数据，调用统计学模型或机器学习算法构建预测模型，不仅能给出具体的预测数值，还能评估未来趋势的置信区间，识别周期性规律与长期趋势。而作为分析的最高阶形态，</w:t>
      </w:r>
      <w:r w:rsidRPr="00707C4E">
        <w:rPr>
          <w:rFonts w:ascii="FangSong" w:eastAsia="FangSong" w:hAnsi="FangSong" w:cs="Google Sans Text"/>
          <w:b/>
          <w:bCs/>
          <w:color w:val="1F1F1F"/>
        </w:rPr>
        <w:t>处方性分析代理 (Prescriptive Agent)</w:t>
      </w:r>
      <w:r w:rsidRPr="00707C4E">
        <w:rPr>
          <w:rFonts w:ascii="FangSong" w:eastAsia="FangSong" w:hAnsi="FangSong" w:cs="Google Sans Text"/>
          <w:color w:val="1F1F1F"/>
        </w:rPr>
        <w:t xml:space="preserve"> 则结合现状诊断与未来预测，模拟不同决策路径下的潜在结果（What-if Analysis），提供可落地的行动建议列表、实施路线图与风险预警，真正起到“参谋长”的作用，回答“我们该怎么做”的问题。</w:t>
      </w:r>
    </w:p>
    <w:p w14:paraId="00000024" w14:textId="77777777" w:rsidR="00BF6A7A" w:rsidRPr="00707C4E" w:rsidRDefault="00707C4E" w:rsidP="00707C4E">
      <w:pPr>
        <w:pStyle w:val="Heading3"/>
        <w:spacing w:before="0" w:after="120" w:line="360" w:lineRule="auto"/>
        <w:rPr>
          <w:rFonts w:ascii="FangSong" w:eastAsia="FangSong" w:hAnsi="FangSong" w:cs="Google Sans"/>
          <w:color w:val="1F1F1F"/>
        </w:rPr>
      </w:pPr>
      <w:r w:rsidRPr="00707C4E">
        <w:rPr>
          <w:rFonts w:ascii="FangSong" w:eastAsia="FangSong" w:hAnsi="FangSong" w:cs="Google Sans"/>
          <w:color w:val="1F1F1F"/>
        </w:rPr>
        <w:t>4.2 自动仪表盘构建代理 (Dashboard Builder)</w:t>
      </w:r>
    </w:p>
    <w:p w14:paraId="00000025"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致数具备将非结构化对话转化为结构化可视界面的能力，极大地缩短了 BI 报表的开发周期。仪表盘生成代理能够理解用户的宏观监控需求，自动规划布局结构，并智能编排最合适的可视化组件来表达不同的数据维度。生成的仪表盘采用现代化的玻璃拟态（Glassmorphism）设计语言，不仅兼顾了美学与工程规范，还支持全响应式布局与深色模式切换。这些仪表盘作为独立的 HTML 文件存在，不仅美观，而且轻量、易于分发与嵌入第三方系统，实现了从意图到 UI 的瞬间转化。</w:t>
      </w:r>
    </w:p>
    <w:p w14:paraId="00000026" w14:textId="77777777" w:rsidR="00BF6A7A" w:rsidRPr="00707C4E" w:rsidRDefault="00707C4E" w:rsidP="00707C4E">
      <w:pPr>
        <w:pStyle w:val="Heading2"/>
        <w:pageBreakBefore/>
        <w:spacing w:before="0" w:after="120" w:line="360" w:lineRule="auto"/>
        <w:rPr>
          <w:rFonts w:ascii="FangSong" w:eastAsia="FangSong" w:hAnsi="FangSong" w:cs="Google Sans Text"/>
          <w:color w:val="1F1F1F"/>
        </w:rPr>
      </w:pPr>
      <w:r w:rsidRPr="00707C4E">
        <w:rPr>
          <w:rFonts w:ascii="FangSong" w:eastAsia="FangSong" w:hAnsi="FangSong" w:cs="Google Sans Text"/>
          <w:color w:val="1F1F1F"/>
        </w:rPr>
        <w:lastRenderedPageBreak/>
        <w:t>5. 数据生态与连接性：打破孤岛的融合</w:t>
      </w:r>
    </w:p>
    <w:p w14:paraId="00000027"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致数构建了开放、兼容且灵活的数据接入体系，旨在打通企业内部的“数据孤岛”，实现全域数据的统一分析。平台支持从个人桌面级数据到企业级数仓的无缝接入，无论是静态的 CSV、Excel 文件，还是实时的 SaaS API 接口，甚至是海量的 ClickHouse、SQLite 数据库，均可实现统一管理与分析。对于数据库源，致数内置了业界领先的 Text-to-SQL 转化引擎，让非技术人员也能轻松查询数据库。系统不仅能将自然语言转化为标准的 SQL 查询语句，还能提供语义解释与透明化展示，确保用户理解查询的含义。更为重要的是，系统具备自我纠错与自愈 (Self-Correction) 能力，当 SQL 执行出错时，AI 代理会根据错误代码自动分析原因并修正语句，这种闭环纠错机制极大降低了数据库查询的门槛与失败率。</w:t>
      </w:r>
    </w:p>
    <w:p w14:paraId="00000028" w14:textId="77777777" w:rsidR="00BF6A7A" w:rsidRPr="00707C4E" w:rsidRDefault="00707C4E" w:rsidP="00707C4E">
      <w:pPr>
        <w:pStyle w:val="Heading2"/>
        <w:pageBreakBefore/>
        <w:spacing w:before="0" w:after="120" w:line="360" w:lineRule="auto"/>
        <w:rPr>
          <w:rFonts w:ascii="FangSong" w:eastAsia="FangSong" w:hAnsi="FangSong" w:cs="Google Sans Text"/>
          <w:color w:val="1F1F1F"/>
        </w:rPr>
      </w:pPr>
      <w:r w:rsidRPr="00707C4E">
        <w:rPr>
          <w:rFonts w:ascii="FangSong" w:eastAsia="FangSong" w:hAnsi="FangSong" w:cs="Google Sans Text"/>
          <w:color w:val="1F1F1F"/>
        </w:rPr>
        <w:lastRenderedPageBreak/>
        <w:t>6. 企业级管理与可视化资产：安全与沉淀</w:t>
      </w:r>
    </w:p>
    <w:p w14:paraId="00000029"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作为面向企业的生产力工具，致数在安全性、合规性、管理性与资产化方面进行了周密设计。数据分析的终局不是一次性的问答，而是知识的沉淀与复用。为此，平台集成了高性能图表引擎与资产化管理 (Artifacts Management) 体系，所有的分析成果——包括精美图表、深度分析报告、交互式仪表盘及清洗后的数据集——均可作为“资产”被持久化存储、分类管理与版本控制，逐步构建企业的“分析知识库”。同时，平台实施了严密的安全架构，通过多层次身份认证、细粒度权限控制 (RBAC) 及全链路审计 (Audit Logging) 系统，确保了数据的安全性与合规性，防止数据泄露风险。此外，系统全面支持国际化与本地化，适应跨国企业的全球化部署需求。</w:t>
      </w:r>
    </w:p>
    <w:p w14:paraId="0000002A" w14:textId="77777777" w:rsidR="00BF6A7A" w:rsidRPr="00707C4E" w:rsidRDefault="00707C4E" w:rsidP="00707C4E">
      <w:pPr>
        <w:pStyle w:val="Heading2"/>
        <w:pageBreakBefore/>
        <w:spacing w:before="0" w:after="120" w:line="360" w:lineRule="auto"/>
        <w:rPr>
          <w:rFonts w:ascii="FangSong" w:eastAsia="FangSong" w:hAnsi="FangSong" w:cs="Google Sans"/>
          <w:color w:val="1F1F1F"/>
        </w:rPr>
      </w:pPr>
      <w:r w:rsidRPr="00707C4E">
        <w:rPr>
          <w:rFonts w:ascii="FangSong" w:eastAsia="FangSong" w:hAnsi="FangSong" w:cs="Google Sans"/>
          <w:color w:val="1F1F1F"/>
        </w:rPr>
        <w:lastRenderedPageBreak/>
        <w:t>7. 结语：迈向认知智能的新时代</w:t>
      </w:r>
    </w:p>
    <w:p w14:paraId="0000002B" w14:textId="77777777" w:rsidR="00BF6A7A" w:rsidRPr="00707C4E" w:rsidRDefault="00707C4E" w:rsidP="00707C4E">
      <w:pPr>
        <w:pBdr>
          <w:top w:val="nil"/>
          <w:left w:val="nil"/>
          <w:bottom w:val="nil"/>
          <w:right w:val="nil"/>
          <w:between w:val="nil"/>
        </w:pBdr>
        <w:spacing w:after="240" w:line="360" w:lineRule="auto"/>
        <w:rPr>
          <w:rFonts w:ascii="FangSong" w:eastAsia="FangSong" w:hAnsi="FangSong" w:cs="Google Sans Text"/>
          <w:color w:val="1F1F1F"/>
        </w:rPr>
      </w:pPr>
      <w:r w:rsidRPr="00707C4E">
        <w:rPr>
          <w:rFonts w:ascii="FangSong" w:eastAsia="FangSong" w:hAnsi="FangSong" w:cs="Google Sans Text"/>
          <w:color w:val="1F1F1F"/>
        </w:rPr>
        <w:t>致数 (Seeyon Report) 不仅仅是一款 BI 工具的升级，它代表了商业智能领域向“认知智能”迈进的最新方向。通过将大语言模型的逻辑推理能力、自然语言的交互优势与确定性计算引擎的精准能力完美结合，致数成功地将数据分析从一项少数人掌握的专业技能，转化为一种通用的、低门槛的组织能力。在致数的辅助下，企业能够缩短从“数据产生”到“决策落地”的链路，无论是应对突发的市场变化、进行深度的经营诊断，还是规划未来的战略路径，致数都能以智能代理的形式，成为企业管理者身边最值得信赖的数字参谋，助力企业在复杂多变的商业环境中构建数据驱动的核心竞争力。</w:t>
      </w:r>
    </w:p>
    <w:sectPr w:rsidR="00BF6A7A" w:rsidRPr="00707C4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2F7380FA-6D1B-D04C-A616-44E420EFC7C2}"/>
    <w:embedBold r:id="rId2" w:fontKey="{825E89B7-276C-4942-9326-9CF74C4FEAA6}"/>
  </w:font>
  <w:font w:name="Times New Roman">
    <w:panose1 w:val="02020603050405020304"/>
    <w:charset w:val="00"/>
    <w:family w:val="roman"/>
    <w:pitch w:val="variable"/>
    <w:sig w:usb0="E0002EFF" w:usb1="C000785B" w:usb2="00000009" w:usb3="00000000" w:csb0="000001FF" w:csb1="00000000"/>
    <w:embedRegular r:id="rId3" w:fontKey="{1E355CB0-AFA5-6242-B1A4-EDC7C60C808B}"/>
  </w:font>
  <w:font w:name="Georgia">
    <w:panose1 w:val="02040502050405020303"/>
    <w:charset w:val="00"/>
    <w:family w:val="roman"/>
    <w:pitch w:val="variable"/>
    <w:sig w:usb0="00000287" w:usb1="00000000" w:usb2="00000000" w:usb3="00000000" w:csb0="0000009F" w:csb1="00000000"/>
    <w:embedItalic r:id="rId4" w:fontKey="{22D42810-BC63-5F41-947D-A44DE03DA11E}"/>
  </w:font>
  <w:font w:name="FangSong">
    <w:altName w:val="方正仿宋_GBK"/>
    <w:panose1 w:val="02010609060101010101"/>
    <w:charset w:val="86"/>
    <w:family w:val="modern"/>
    <w:pitch w:val="fixed"/>
    <w:sig w:usb0="800002BF" w:usb1="38CF7CFA" w:usb2="00000016" w:usb3="00000000" w:csb0="00040001" w:csb1="00000000"/>
    <w:embedRegular r:id="rId5" w:subsetted="1" w:fontKey="{0888E9CF-A9B5-D14F-8148-F693D7F3E045}"/>
    <w:embedBold r:id="rId6" w:subsetted="1" w:fontKey="{E9E85925-2582-9642-ADE0-DA8A8EAD57B3}"/>
  </w:font>
  <w:font w:name="Google Sans">
    <w:panose1 w:val="020B0604020202020204"/>
    <w:charset w:val="00"/>
    <w:family w:val="auto"/>
    <w:pitch w:val="default"/>
    <w:embedBold r:id="rId7" w:fontKey="{A907063C-A4AF-7C47-A38A-12C84D3BF7F6}"/>
  </w:font>
  <w:font w:name="Google Sans Text">
    <w:panose1 w:val="020B0604020202020204"/>
    <w:charset w:val="00"/>
    <w:family w:val="auto"/>
    <w:pitch w:val="default"/>
    <w:embedRegular r:id="rId8" w:fontKey="{AFCEB6DC-2C42-A04B-9875-DFDE7103B172}"/>
    <w:embedBold r:id="rId9" w:fontKey="{031A5BB2-FAFA-C541-B235-B66D02BFAC63}"/>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0" w:fontKey="{6B9FC9CF-7DF5-D14F-A99D-390F0239A9A4}"/>
  </w:font>
  <w:font w:name="Cambria">
    <w:panose1 w:val="02040503050406030204"/>
    <w:charset w:val="00"/>
    <w:family w:val="roman"/>
    <w:pitch w:val="variable"/>
    <w:sig w:usb0="E00002FF" w:usb1="400004FF" w:usb2="00000000" w:usb3="00000000" w:csb0="0000019F" w:csb1="00000000"/>
    <w:embedRegular r:id="rId11" w:fontKey="{C63D8CC1-FB1A-5249-8C5A-90181E8108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A7A"/>
    <w:rsid w:val="00707C4E"/>
    <w:rsid w:val="00AB35B4"/>
    <w:rsid w:val="00BF6A7A"/>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E8AEFD9"/>
  <w15:docId w15:val="{BC50B82A-F2FF-E147-ABEC-F2879E7E3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N"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鸿峰 张</cp:lastModifiedBy>
  <cp:revision>3</cp:revision>
  <dcterms:created xsi:type="dcterms:W3CDTF">2026-01-14T05:37:00Z</dcterms:created>
  <dcterms:modified xsi:type="dcterms:W3CDTF">2026-01-14T05:53:00Z</dcterms:modified>
</cp:coreProperties>
</file>